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160"/>
      </w:pPr>
      <w:r>
        <w:rPr>
          <w:rFonts w:ascii="Georgia" w:hAnsi="Georgia"/>
          <w:b/>
          <w:color w:val="102D9E"/>
          <w:sz w:val="44"/>
        </w:rPr>
        <w:t>PLP Cohort 1 — Master Operations README</w:t>
      </w:r>
    </w:p>
    <w:p>
      <w:pPr>
        <w:spacing w:after="120"/>
      </w:pPr>
      <w:r>
        <w:rPr>
          <w:b w:val="0"/>
          <w:i/>
          <w:color w:val="5B6A82"/>
          <w:sz w:val="22"/>
        </w:rPr>
        <w:t>What's in this folder. Read this first.</w:t>
      </w:r>
    </w:p>
    <w:p>
      <w:pPr>
        <w:spacing w:before="280" w:after="80"/>
      </w:pPr>
      <w:r>
        <w:rPr>
          <w:b/>
          <w:color w:val="102D9E"/>
          <w:sz w:val="30"/>
        </w:rPr>
        <w:t>Files in this folder</w:t>
      </w:r>
    </w:p>
    <w:p>
      <w:r>
        <w:rPr>
          <w:b/>
          <w:sz w:val="22"/>
        </w:rPr>
        <w:t>Cohort1_Operations_Manual.docx</w:t>
      </w:r>
    </w:p>
    <w:p>
      <w:pPr>
        <w:spacing w:after="120"/>
      </w:pPr>
      <w:r>
        <w:rPr>
          <w:b w:val="0"/>
          <w:i w:val="0"/>
          <w:color w:val="5B6A82"/>
          <w:sz w:val="22"/>
        </w:rPr>
        <w:t>Master playbook — pre-cohort timeline, acceptance rubric, license issuance, weekly call playbook, capstone week, risk register.</w:t>
      </w:r>
    </w:p>
    <w:p>
      <w:r>
        <w:rPr>
          <w:b/>
          <w:sz w:val="22"/>
        </w:rPr>
        <w:t>Welcome_Email_Templates.docx</w:t>
      </w:r>
    </w:p>
    <w:p>
      <w:pPr>
        <w:spacing w:after="120"/>
      </w:pPr>
      <w:r>
        <w:rPr>
          <w:b w:val="0"/>
          <w:i w:val="0"/>
          <w:color w:val="5B6A82"/>
          <w:sz w:val="22"/>
        </w:rPr>
        <w:t>Acceptance email (cohort + library variants). Send within 24h of accepting.</w:t>
      </w:r>
    </w:p>
    <w:p>
      <w:r>
        <w:rPr>
          <w:b/>
          <w:sz w:val="22"/>
        </w:rPr>
        <w:t>Live_Call_Setup_Guide.docx</w:t>
      </w:r>
    </w:p>
    <w:p>
      <w:pPr>
        <w:spacing w:after="120"/>
      </w:pPr>
      <w:r>
        <w:rPr>
          <w:b w:val="0"/>
          <w:i w:val="0"/>
          <w:color w:val="5B6A82"/>
          <w:sz w:val="22"/>
        </w:rPr>
        <w:t>Zoom + Riverside + Calendly setup. One-time setup on May 25–28.</w:t>
      </w:r>
    </w:p>
    <w:p>
      <w:r>
        <w:rPr>
          <w:b/>
          <w:sz w:val="22"/>
        </w:rPr>
        <w:t>Pre_Cohort_Intake_Survey.docx</w:t>
      </w:r>
    </w:p>
    <w:p>
      <w:pPr>
        <w:spacing w:after="120"/>
      </w:pPr>
      <w:r>
        <w:rPr>
          <w:b w:val="0"/>
          <w:i w:val="0"/>
          <w:color w:val="5B6A82"/>
          <w:sz w:val="22"/>
        </w:rPr>
        <w:t>13-question survey to send accepted cohort members 2 weeks before kickoff.</w:t>
      </w:r>
    </w:p>
    <w:p>
      <w:r>
        <w:rPr>
          <w:b/>
          <w:sz w:val="22"/>
        </w:rPr>
        <w:t>Drive_Folder_Structure.docx</w:t>
      </w:r>
    </w:p>
    <w:p>
      <w:pPr>
        <w:spacing w:after="120"/>
      </w:pPr>
      <w:r>
        <w:rPr>
          <w:b w:val="0"/>
          <w:i w:val="0"/>
          <w:color w:val="5B6A82"/>
          <w:sz w:val="22"/>
        </w:rPr>
        <w:t>Google Drive folder spec — recreate for cohort to access.</w:t>
      </w:r>
    </w:p>
    <w:p>
      <w:r>
        <w:rPr>
          <w:b/>
          <w:sz w:val="22"/>
        </w:rPr>
        <w:t>Peer_Pod_Matchmaking.xlsx</w:t>
      </w:r>
    </w:p>
    <w:p>
      <w:pPr>
        <w:spacing w:after="120"/>
      </w:pPr>
      <w:r>
        <w:rPr>
          <w:b w:val="0"/>
          <w:i w:val="0"/>
          <w:color w:val="5B6A82"/>
          <w:sz w:val="22"/>
        </w:rPr>
        <w:t>Cohort tracker · pod-matching algorithm · 6-week schedule · pre-seeded with 3 sample rows.</w:t>
      </w:r>
    </w:p>
    <w:p>
      <w:r>
        <w:rPr>
          <w:b/>
          <w:sz w:val="22"/>
        </w:rPr>
        <w:t>Capstone_Rubric.pdf</w:t>
      </w:r>
    </w:p>
    <w:p>
      <w:pPr>
        <w:spacing w:after="120"/>
      </w:pPr>
      <w:r>
        <w:rPr>
          <w:b w:val="0"/>
          <w:i w:val="0"/>
          <w:color w:val="5B6A82"/>
          <w:sz w:val="22"/>
        </w:rPr>
        <w:t>2-page printable rubric — page 1 scoring + decision matrix · page 2 peer-reviewer guide.</w:t>
      </w:r>
    </w:p>
    <w:p>
      <w:pPr>
        <w:spacing w:before="280" w:after="80"/>
      </w:pPr>
      <w:r>
        <w:rPr>
          <w:b/>
          <w:color w:val="102D9E"/>
          <w:sz w:val="30"/>
        </w:rPr>
        <w:t>Cohort 1 critical path</w:t>
      </w:r>
    </w:p>
    <w:p>
      <w:pPr>
        <w:spacing w:after="120"/>
      </w:pPr>
      <w:r>
        <w:rPr>
          <w:b w:val="0"/>
          <w:i/>
          <w:color w:val="0A1428"/>
          <w:sz w:val="22"/>
        </w:rPr>
        <w:t>Use this as your week-by-week checklist:</w:t>
      </w:r>
    </w:p>
    <w:tbl>
      <w:tblPr>
        <w:tblW w:type="auto" w:w="0"/>
        <w:tblLayout w:type="autofit"/>
        <w:tblLook w:firstColumn="1" w:firstRow="1" w:lastColumn="0" w:lastRow="0" w:noHBand="0" w:noVBand="1" w:val="04A0"/>
      </w:tblPr>
      <w:tblGrid>
        <w:gridCol w:w="3312"/>
        <w:gridCol w:w="3312"/>
        <w:gridCol w:w="3312"/>
      </w:tblGrid>
      <w:tr>
        <w:tc>
          <w:tcPr>
            <w:tcW w:type="dxa" w:w="3312"/>
            <w:shd w:val="clear" w:color="auto" w:fill="102D9E"/>
          </w:tcPr>
          <w:p>
            <w:r>
              <w:rPr>
                <w:b/>
                <w:color w:val="FFFFFF"/>
                <w:sz w:val="22"/>
              </w:rPr>
              <w:t>Window</w:t>
            </w:r>
          </w:p>
        </w:tc>
        <w:tc>
          <w:tcPr>
            <w:tcW w:type="dxa" w:w="3312"/>
            <w:shd w:val="clear" w:color="auto" w:fill="102D9E"/>
          </w:tcPr>
          <w:p>
            <w:r>
              <w:rPr>
                <w:b/>
                <w:color w:val="FFFFFF"/>
                <w:sz w:val="22"/>
              </w:rPr>
              <w:t>Walter does</w:t>
            </w:r>
          </w:p>
        </w:tc>
        <w:tc>
          <w:tcPr>
            <w:tcW w:type="dxa" w:w="3312"/>
            <w:shd w:val="clear" w:color="auto" w:fill="102D9E"/>
          </w:tcPr>
          <w:p>
            <w:r>
              <w:rPr>
                <w:b/>
                <w:color w:val="FFFFFF"/>
                <w:sz w:val="22"/>
              </w:rPr>
              <w:t>Sonny / Ops does</w:t>
            </w:r>
          </w:p>
        </w:tc>
      </w:tr>
      <w:tr>
        <w:tc>
          <w:tcPr>
            <w:tcW w:type="dxa" w:w="3312"/>
          </w:tcPr>
          <w:p>
            <w:r>
              <w:rPr>
                <w:sz w:val="22"/>
              </w:rPr>
              <w:t>May 8–14</w:t>
            </w:r>
          </w:p>
        </w:tc>
        <w:tc>
          <w:tcPr>
            <w:tcW w:type="dxa" w:w="3312"/>
          </w:tcPr>
          <w:p>
            <w:r>
              <w:rPr>
                <w:sz w:val="22"/>
              </w:rPr>
              <w:t>Open applications · drive traffic to plpcert.pages.dev</w:t>
            </w:r>
          </w:p>
        </w:tc>
        <w:tc>
          <w:tcPr>
            <w:tcW w:type="dxa" w:w="3312"/>
          </w:tcPr>
          <w:p>
            <w:r>
              <w:rPr>
                <w:sz w:val="22"/>
              </w:rPr>
              <w:t>Sonny v2 LinkedIn outreach starts</w:t>
            </w:r>
          </w:p>
        </w:tc>
      </w:tr>
      <w:tr>
        <w:tc>
          <w:tcPr>
            <w:tcW w:type="dxa" w:w="3312"/>
          </w:tcPr>
          <w:p>
            <w:r>
              <w:rPr>
                <w:sz w:val="22"/>
              </w:rPr>
              <w:t>May 15–21</w:t>
            </w:r>
          </w:p>
        </w:tc>
        <w:tc>
          <w:tcPr>
            <w:tcW w:type="dxa" w:w="3312"/>
          </w:tcPr>
          <w:p>
            <w:r>
              <w:rPr>
                <w:sz w:val="22"/>
              </w:rPr>
              <w:t>Read every application · accept first 16 · waitlist 8</w:t>
            </w:r>
          </w:p>
        </w:tc>
        <w:tc>
          <w:tcPr>
            <w:tcW w:type="dxa" w:w="3312"/>
          </w:tcPr>
          <w:p>
            <w:r>
              <w:rPr>
                <w:sz w:val="22"/>
              </w:rPr>
              <w:t>Send accept emails (Welcome_Email_Templates)</w:t>
            </w:r>
          </w:p>
        </w:tc>
      </w:tr>
      <w:tr>
        <w:tc>
          <w:tcPr>
            <w:tcW w:type="dxa" w:w="3312"/>
          </w:tcPr>
          <w:p>
            <w:r>
              <w:rPr>
                <w:sz w:val="22"/>
              </w:rPr>
              <w:t>May 22–28</w:t>
            </w:r>
          </w:p>
        </w:tc>
        <w:tc>
          <w:tcPr>
            <w:tcW w:type="dxa" w:w="3312"/>
          </w:tcPr>
          <w:p>
            <w:r>
              <w:rPr>
                <w:sz w:val="22"/>
              </w:rPr>
              <w:t>Set up Zoom + Calendly + Drive folder · record Welcome video</w:t>
            </w:r>
          </w:p>
        </w:tc>
        <w:tc>
          <w:tcPr>
            <w:tcW w:type="dxa" w:w="3312"/>
          </w:tcPr>
          <w:p>
            <w:r>
              <w:rPr>
                <w:sz w:val="22"/>
              </w:rPr>
              <w:t>Send intake survey to all accepted</w:t>
            </w:r>
          </w:p>
        </w:tc>
      </w:tr>
      <w:tr>
        <w:tc>
          <w:tcPr>
            <w:tcW w:type="dxa" w:w="3312"/>
          </w:tcPr>
          <w:p>
            <w:r>
              <w:rPr>
                <w:sz w:val="22"/>
              </w:rPr>
              <w:t>May 25–Jun 12</w:t>
            </w:r>
          </w:p>
        </w:tc>
        <w:tc>
          <w:tcPr>
            <w:tcW w:type="dxa" w:w="3312"/>
          </w:tcPr>
          <w:p>
            <w:r>
              <w:rPr>
                <w:sz w:val="22"/>
              </w:rPr>
              <w:t>Record Week 1 + Week 2 lessons (8 videos · 80 min)</w:t>
            </w:r>
          </w:p>
        </w:tc>
        <w:tc>
          <w:tcPr>
            <w:tcW w:type="dxa" w:w="3312"/>
          </w:tcPr>
          <w:p>
            <w:r>
              <w:rPr>
                <w:sz w:val="22"/>
              </w:rPr>
              <w:t>Issue PLP cohort licenses via Control Tower</w:t>
            </w:r>
          </w:p>
        </w:tc>
      </w:tr>
      <w:tr>
        <w:tc>
          <w:tcPr>
            <w:tcW w:type="dxa" w:w="3312"/>
          </w:tcPr>
          <w:p>
            <w:r>
              <w:rPr>
                <w:sz w:val="22"/>
              </w:rPr>
              <w:t>Jun 5–11</w:t>
            </w:r>
          </w:p>
        </w:tc>
        <w:tc>
          <w:tcPr>
            <w:tcW w:type="dxa" w:w="3312"/>
          </w:tcPr>
          <w:p>
            <w:r>
              <w:rPr>
                <w:sz w:val="22"/>
              </w:rPr>
              <w:t>Match pods (Peer_Pod_Matchmaking.xlsx)</w:t>
            </w:r>
          </w:p>
        </w:tc>
        <w:tc>
          <w:tcPr>
            <w:tcW w:type="dxa" w:w="3312"/>
          </w:tcPr>
          <w:p>
            <w:r>
              <w:rPr>
                <w:sz w:val="22"/>
              </w:rPr>
              <w:t>Send calendar invites · post pod assignments</w:t>
            </w:r>
          </w:p>
        </w:tc>
      </w:tr>
      <w:tr>
        <w:tc>
          <w:tcPr>
            <w:tcW w:type="dxa" w:w="3312"/>
          </w:tcPr>
          <w:p>
            <w:r>
              <w:rPr>
                <w:sz w:val="22"/>
              </w:rPr>
              <w:t>Jun 13</w:t>
            </w:r>
          </w:p>
        </w:tc>
        <w:tc>
          <w:tcPr>
            <w:tcW w:type="dxa" w:w="3312"/>
          </w:tcPr>
          <w:p>
            <w:r>
              <w:rPr>
                <w:sz w:val="22"/>
              </w:rPr>
              <w:t>Review baseline scorecards as they come in</w:t>
            </w:r>
          </w:p>
        </w:tc>
        <w:tc>
          <w:tcPr>
            <w:tcW w:type="dxa" w:w="3312"/>
          </w:tcPr>
          <w:p>
            <w:r>
              <w:rPr>
                <w:sz w:val="22"/>
              </w:rPr>
              <w:t>Send Day-Before email</w:t>
            </w:r>
          </w:p>
        </w:tc>
      </w:tr>
      <w:tr>
        <w:tc>
          <w:tcPr>
            <w:tcW w:type="dxa" w:w="3312"/>
          </w:tcPr>
          <w:p>
            <w:r>
              <w:rPr>
                <w:sz w:val="22"/>
              </w:rPr>
              <w:t>Jun 16</w:t>
            </w:r>
          </w:p>
        </w:tc>
        <w:tc>
          <w:tcPr>
            <w:tcW w:type="dxa" w:w="3312"/>
          </w:tcPr>
          <w:p>
            <w:r>
              <w:rPr>
                <w:sz w:val="22"/>
              </w:rPr>
              <w:t>RUN COHORT KICKOFF · Tuesday 12pm ET</w:t>
            </w:r>
          </w:p>
        </w:tc>
        <w:tc>
          <w:tcPr>
            <w:tcW w:type="dxa" w:w="3312"/>
          </w:tcPr>
          <w:p>
            <w:r>
              <w:rPr>
                <w:sz w:val="22"/>
              </w:rPr>
              <w:t>Watch chat · take attendance · post replay by Wed</w:t>
            </w:r>
          </w:p>
        </w:tc>
      </w:tr>
      <w:tr>
        <w:tc>
          <w:tcPr>
            <w:tcW w:type="dxa" w:w="3312"/>
          </w:tcPr>
          <w:p>
            <w:r>
              <w:rPr>
                <w:sz w:val="22"/>
              </w:rPr>
              <w:t>Jun 17–Jul 21</w:t>
            </w:r>
          </w:p>
        </w:tc>
        <w:tc>
          <w:tcPr>
            <w:tcW w:type="dxa" w:w="3312"/>
          </w:tcPr>
          <w:p>
            <w:r>
              <w:rPr>
                <w:sz w:val="22"/>
              </w:rPr>
              <w:t>Run Tuesday calls · review pod check-ins each Friday</w:t>
            </w:r>
          </w:p>
        </w:tc>
        <w:tc>
          <w:tcPr>
            <w:tcW w:type="dxa" w:w="3312"/>
          </w:tcPr>
          <w:p>
            <w:r>
              <w:rPr>
                <w:sz w:val="22"/>
              </w:rPr>
              <w:t>Each Sunday: populate next week's Drive folder</w:t>
            </w:r>
          </w:p>
        </w:tc>
      </w:tr>
    </w:tbl>
    <w:p>
      <w:pPr>
        <w:spacing w:after="120"/>
      </w:pPr>
      <w:r>
        <w:rPr>
          <w:b w:val="0"/>
          <w:i w:val="0"/>
          <w:color w:val="0A1428"/>
          <w:sz w:val="22"/>
        </w:rPr>
        <w:t xml:space="preserve"> </w:t>
      </w:r>
    </w:p>
    <w:p>
      <w:pPr>
        <w:spacing w:before="280" w:after="80"/>
      </w:pPr>
      <w:r>
        <w:rPr>
          <w:b/>
          <w:color w:val="102D9E"/>
          <w:sz w:val="30"/>
        </w:rPr>
        <w:t>Cross-references</w:t>
      </w:r>
    </w:p>
    <w:p>
      <w:pPr>
        <w:pStyle w:val="ListBullet"/>
      </w:pPr>
      <w:r>
        <w:rPr>
          <w:sz w:val="22"/>
        </w:rPr>
        <w:t>Public sales page: https://plpcert.pages.dev</w:t>
      </w:r>
    </w:p>
    <w:p>
      <w:pPr>
        <w:pStyle w:val="ListBullet"/>
      </w:pPr>
      <w:r>
        <w:rPr>
          <w:sz w:val="22"/>
        </w:rPr>
        <w:t>Application admin view: https://dutch-mentor.thedutchmentor.workers.dev/plp-applications?key=ADMIN_KEY</w:t>
      </w:r>
    </w:p>
    <w:p>
      <w:pPr>
        <w:pStyle w:val="ListBullet"/>
      </w:pPr>
      <w:r>
        <w:rPr>
          <w:sz w:val="22"/>
        </w:rPr>
        <w:t>Coaching Twin (cohort tool): https://coachingtwin.pages.dev</w:t>
      </w:r>
    </w:p>
    <w:p>
      <w:pPr>
        <w:pStyle w:val="ListBullet"/>
      </w:pPr>
      <w:r>
        <w:rPr>
          <w:sz w:val="22"/>
        </w:rPr>
        <w:t>Issue licenses: https://wd-tower-4a5a6a.pages.dev → 👑 Issue a license tile</w:t>
      </w:r>
    </w:p>
    <w:p>
      <w:pPr>
        <w:pStyle w:val="ListBullet"/>
      </w:pPr>
      <w:r>
        <w:rPr>
          <w:sz w:val="22"/>
        </w:rPr>
        <w:t>Curriculum delivery (when built): https://plpcert.pages.dev/curriculum</w:t>
      </w:r>
    </w:p>
    <w:p>
      <w:pPr>
        <w:spacing w:before="280" w:after="80"/>
      </w:pPr>
      <w:r>
        <w:rPr>
          <w:b/>
          <w:color w:val="102D9E"/>
          <w:sz w:val="30"/>
        </w:rPr>
        <w:t>Operating principle for Cohort 1</w:t>
      </w:r>
    </w:p>
    <w:p>
      <w:pPr>
        <w:spacing w:after="120"/>
      </w:pPr>
      <w:r>
        <w:rPr>
          <w:b w:val="0"/>
          <w:i/>
          <w:color w:val="A07F12"/>
          <w:sz w:val="22"/>
        </w:rPr>
        <w:t>Cohort 1 is the recording cohort. Don't pretend the platform is finished. Tell cohort members you're recording lessons in parallel, and they're getting the live call PLUS the recordings of their own cohort. They're getting Cohort 0 Founders' status — even at the Cohort 1 price.</w:t>
      </w:r>
    </w:p>
    <w:p>
      <w:pPr>
        <w:spacing w:after="120"/>
      </w:pPr>
      <w:r>
        <w:rPr>
          <w:b/>
          <w:i w:val="0"/>
          <w:color w:val="102D9E"/>
          <w:sz w:val="22"/>
        </w:rPr>
        <w:t>If you ship Cohort 1 with 14 leaders who graduate proud and visible, Cohort 2 sells itself.</w:t>
      </w:r>
    </w:p>
    <w:sectPr w:rsidR="00FC693F" w:rsidRPr="0006063C" w:rsidSect="00034616">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